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23" w:rsidRDefault="00B51FEA">
      <w:pPr>
        <w:pStyle w:val="Standard"/>
        <w:spacing w:after="0"/>
        <w:jc w:val="center"/>
      </w:pPr>
      <w:bookmarkStart w:id="0" w:name="_GoBack"/>
      <w:bookmarkEnd w:id="0"/>
      <w:r>
        <w:rPr>
          <w:noProof/>
          <w:lang w:eastAsia="fr-FR"/>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934920" cy="707040"/>
            <wp:effectExtent l="0" t="0" r="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t="1673" b="1575"/>
                    <a:stretch>
                      <a:fillRect/>
                    </a:stretch>
                  </pic:blipFill>
                  <pic:spPr>
                    <a:xfrm>
                      <a:off x="0" y="0"/>
                      <a:ext cx="934920" cy="707040"/>
                    </a:xfrm>
                    <a:prstGeom prst="rect">
                      <a:avLst/>
                    </a:prstGeom>
                    <a:noFill/>
                    <a:ln>
                      <a:noFill/>
                    </a:ln>
                  </pic:spPr>
                </pic:pic>
              </a:graphicData>
            </a:graphic>
          </wp:anchor>
        </w:drawing>
      </w:r>
      <w:r>
        <w:rPr>
          <w:b/>
          <w:color w:val="FF0000"/>
          <w:sz w:val="28"/>
          <w:szCs w:val="28"/>
        </w:rPr>
        <w:t>Le (nouveau) Diplôme National du Brevet en un coup d’œil</w:t>
      </w:r>
    </w:p>
    <w:p w:rsidR="00751923" w:rsidRDefault="00B51FEA">
      <w:pPr>
        <w:pStyle w:val="Standard"/>
        <w:spacing w:after="0"/>
        <w:jc w:val="center"/>
      </w:pPr>
      <w:r>
        <w:t xml:space="preserve">Nombre total de points : </w:t>
      </w:r>
      <w:r>
        <w:rPr>
          <w:b/>
        </w:rPr>
        <w:t>700</w:t>
      </w:r>
      <w:r>
        <w:t xml:space="preserve">. Il faut </w:t>
      </w:r>
      <w:r>
        <w:rPr>
          <w:b/>
        </w:rPr>
        <w:t>350</w:t>
      </w:r>
      <w:r>
        <w:t xml:space="preserve"> points au moins pour obtenir le brevet.</w:t>
      </w:r>
    </w:p>
    <w:p w:rsidR="00751923" w:rsidRDefault="00B51FEA">
      <w:pPr>
        <w:pStyle w:val="Standard"/>
        <w:spacing w:after="0"/>
        <w:jc w:val="both"/>
        <w:rPr>
          <w:sz w:val="24"/>
          <w:szCs w:val="24"/>
        </w:rPr>
      </w:pPr>
      <w:r>
        <w:rPr>
          <w:b/>
          <w:sz w:val="24"/>
          <w:szCs w:val="24"/>
        </w:rPr>
        <w:t>Répartition des points :</w:t>
      </w:r>
    </w:p>
    <w:p w:rsidR="00751923" w:rsidRDefault="00B51FEA">
      <w:pPr>
        <w:pStyle w:val="Standard"/>
        <w:spacing w:after="0"/>
        <w:jc w:val="both"/>
      </w:pPr>
      <w:r>
        <w:rPr>
          <w:b/>
          <w:sz w:val="24"/>
          <w:szCs w:val="24"/>
          <w:u w:val="single"/>
        </w:rPr>
        <w:t>Contrôle continu</w:t>
      </w:r>
      <w:r>
        <w:rPr>
          <w:b/>
          <w:sz w:val="24"/>
          <w:szCs w:val="24"/>
        </w:rPr>
        <w:t> : Evaluation à partir du socle commun de connaissances, de compétences et de culture.</w:t>
      </w:r>
    </w:p>
    <w:p w:rsidR="00751923" w:rsidRDefault="00B51FEA">
      <w:pPr>
        <w:pStyle w:val="Standard"/>
        <w:spacing w:after="0"/>
        <w:jc w:val="both"/>
      </w:pPr>
      <w:r>
        <w:t>Evaluations en classe (contrôles ou pendant les cours) toute l’année.</w:t>
      </w:r>
    </w:p>
    <w:p w:rsidR="00751923" w:rsidRDefault="00B51FEA">
      <w:pPr>
        <w:pStyle w:val="Standard"/>
        <w:pBdr>
          <w:top w:val="single" w:sz="4" w:space="1" w:color="00000A"/>
          <w:left w:val="single" w:sz="4" w:space="4" w:color="00000A"/>
          <w:bottom w:val="single" w:sz="4" w:space="1" w:color="00000A"/>
          <w:right w:val="single" w:sz="4" w:space="4" w:color="00000A"/>
        </w:pBdr>
        <w:shd w:val="clear" w:color="auto" w:fill="FFFF00"/>
        <w:spacing w:after="0"/>
        <w:jc w:val="both"/>
        <w:rPr>
          <w:b/>
          <w:sz w:val="20"/>
          <w:szCs w:val="20"/>
        </w:rPr>
      </w:pPr>
      <w:r>
        <w:rPr>
          <w:b/>
          <w:sz w:val="20"/>
          <w:szCs w:val="20"/>
        </w:rPr>
        <w:t>Domaine 1 : Les langages pour penser et communiquer.</w:t>
      </w:r>
    </w:p>
    <w:p w:rsidR="00751923" w:rsidRDefault="00B51FEA">
      <w:pPr>
        <w:pStyle w:val="Standard"/>
        <w:pBdr>
          <w:top w:val="single" w:sz="4" w:space="1" w:color="00000A"/>
          <w:left w:val="single" w:sz="4" w:space="4" w:color="00000A"/>
          <w:bottom w:val="single" w:sz="4" w:space="1" w:color="00000A"/>
          <w:right w:val="single" w:sz="4" w:space="4" w:color="00000A"/>
        </w:pBdr>
        <w:shd w:val="clear" w:color="auto" w:fill="FFFF00"/>
        <w:spacing w:after="0"/>
        <w:jc w:val="both"/>
        <w:rPr>
          <w:sz w:val="20"/>
          <w:szCs w:val="20"/>
        </w:rPr>
      </w:pPr>
      <w:r>
        <w:rPr>
          <w:sz w:val="20"/>
          <w:szCs w:val="20"/>
        </w:rPr>
        <w:t>Comprendre et s’exprimer en utilisant 4 types de langage.</w:t>
      </w:r>
    </w:p>
    <w:p w:rsidR="00751923" w:rsidRDefault="00B51FEA">
      <w:pPr>
        <w:pStyle w:val="Standard"/>
        <w:spacing w:after="0"/>
        <w:jc w:val="both"/>
        <w:rPr>
          <w:b/>
          <w:sz w:val="20"/>
          <w:szCs w:val="20"/>
        </w:rPr>
      </w:pPr>
      <w:r>
        <w:rPr>
          <w:b/>
          <w:sz w:val="20"/>
          <w:szCs w:val="20"/>
        </w:rPr>
        <w:t>Décomposé de façon plus « disciplinaire » </w:t>
      </w:r>
      <w:r>
        <w:rPr>
          <w:b/>
          <w:noProof/>
          <w:sz w:val="20"/>
          <w:szCs w:val="20"/>
          <w:lang w:eastAsia="fr-FR"/>
        </w:rPr>
        <w:drawing>
          <wp:anchor distT="0" distB="0" distL="114300" distR="114300" simplePos="0" relativeHeight="251659264" behindDoc="0" locked="0" layoutInCell="1" allowOverlap="1">
            <wp:simplePos x="0" y="0"/>
            <wp:positionH relativeFrom="column">
              <wp:posOffset>3729960</wp:posOffset>
            </wp:positionH>
            <wp:positionV relativeFrom="paragraph">
              <wp:posOffset>82440</wp:posOffset>
            </wp:positionV>
            <wp:extent cx="934559" cy="706680"/>
            <wp:effectExtent l="0" t="0" r="0" b="0"/>
            <wp:wrapNone/>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934559" cy="706680"/>
                    </a:xfrm>
                    <a:prstGeom prst="rect">
                      <a:avLst/>
                    </a:prstGeom>
                    <a:ln>
                      <a:noFill/>
                      <a:prstDash/>
                    </a:ln>
                  </pic:spPr>
                </pic:pic>
              </a:graphicData>
            </a:graphic>
          </wp:anchor>
        </w:drawing>
      </w:r>
    </w:p>
    <w:p w:rsidR="00751923" w:rsidRDefault="00B51FEA">
      <w:pPr>
        <w:pStyle w:val="Standard"/>
        <w:spacing w:after="0"/>
        <w:jc w:val="both"/>
      </w:pPr>
      <w:r>
        <w:rPr>
          <w:b/>
          <w:sz w:val="20"/>
          <w:szCs w:val="20"/>
        </w:rPr>
        <w:t xml:space="preserve">D 1.1 : </w:t>
      </w:r>
      <w:r>
        <w:rPr>
          <w:sz w:val="20"/>
          <w:szCs w:val="20"/>
        </w:rPr>
        <w:t>Langue française</w:t>
      </w:r>
    </w:p>
    <w:p w:rsidR="00751923" w:rsidRDefault="00B51FEA">
      <w:pPr>
        <w:pStyle w:val="Standard"/>
        <w:spacing w:after="0"/>
        <w:jc w:val="both"/>
      </w:pPr>
      <w:r>
        <w:rPr>
          <w:b/>
          <w:sz w:val="20"/>
          <w:szCs w:val="20"/>
        </w:rPr>
        <w:t xml:space="preserve">D 1.2 : </w:t>
      </w:r>
      <w:r>
        <w:rPr>
          <w:sz w:val="20"/>
          <w:szCs w:val="20"/>
        </w:rPr>
        <w:t>Langues vivantes étrangères</w:t>
      </w:r>
    </w:p>
    <w:p w:rsidR="00751923" w:rsidRDefault="00B51FEA">
      <w:pPr>
        <w:pStyle w:val="Standard"/>
        <w:spacing w:after="0"/>
        <w:jc w:val="both"/>
      </w:pPr>
      <w:r>
        <w:rPr>
          <w:b/>
          <w:sz w:val="20"/>
          <w:szCs w:val="20"/>
        </w:rPr>
        <w:t xml:space="preserve">D 1.3 : </w:t>
      </w:r>
      <w:r>
        <w:rPr>
          <w:sz w:val="20"/>
          <w:szCs w:val="20"/>
        </w:rPr>
        <w:t>Langages mathématiques, scientifiques et informatiques</w:t>
      </w:r>
    </w:p>
    <w:p w:rsidR="00751923" w:rsidRDefault="00B51FEA">
      <w:pPr>
        <w:pStyle w:val="Standard"/>
        <w:spacing w:after="0"/>
        <w:jc w:val="both"/>
      </w:pPr>
      <w:r>
        <w:rPr>
          <w:b/>
          <w:sz w:val="20"/>
          <w:szCs w:val="20"/>
        </w:rPr>
        <w:t xml:space="preserve">D 1.4 : </w:t>
      </w:r>
      <w:r>
        <w:rPr>
          <w:sz w:val="20"/>
          <w:szCs w:val="20"/>
        </w:rPr>
        <w:t>Langages des arts et du corps</w:t>
      </w:r>
    </w:p>
    <w:p w:rsidR="00751923" w:rsidRDefault="00B51FEA">
      <w:pPr>
        <w:pStyle w:val="Standard"/>
        <w:spacing w:after="0"/>
        <w:jc w:val="both"/>
      </w:pPr>
      <w:r>
        <w:rPr>
          <w:b/>
          <w:sz w:val="20"/>
          <w:szCs w:val="20"/>
        </w:rPr>
        <w:t xml:space="preserve">Chacune des </w:t>
      </w:r>
      <w:r>
        <w:rPr>
          <w:b/>
          <w:sz w:val="20"/>
          <w:szCs w:val="20"/>
          <w:u w:val="single"/>
        </w:rPr>
        <w:t>4 composantes du domaine 1 est évaluée sur 50 points</w:t>
      </w:r>
      <w:r>
        <w:rPr>
          <w:b/>
          <w:sz w:val="20"/>
          <w:szCs w:val="20"/>
        </w:rPr>
        <w:t> :</w:t>
      </w:r>
    </w:p>
    <w:p w:rsidR="00751923" w:rsidRDefault="00B51FEA">
      <w:pPr>
        <w:pStyle w:val="Standard"/>
        <w:spacing w:after="0"/>
        <w:jc w:val="both"/>
        <w:rPr>
          <w:sz w:val="16"/>
          <w:szCs w:val="16"/>
        </w:rPr>
      </w:pPr>
      <w:r>
        <w:rPr>
          <w:sz w:val="16"/>
          <w:szCs w:val="16"/>
        </w:rPr>
        <w:t xml:space="preserve">Maîtrise insuffisante : </w:t>
      </w:r>
      <w:r>
        <w:rPr>
          <w:sz w:val="16"/>
          <w:szCs w:val="16"/>
        </w:rPr>
        <w:tab/>
        <w:t>10 points</w:t>
      </w:r>
    </w:p>
    <w:p w:rsidR="00751923" w:rsidRDefault="00B51FEA">
      <w:pPr>
        <w:pStyle w:val="Standard"/>
        <w:spacing w:after="0"/>
        <w:jc w:val="both"/>
        <w:rPr>
          <w:sz w:val="16"/>
          <w:szCs w:val="16"/>
        </w:rPr>
      </w:pPr>
      <w:r>
        <w:rPr>
          <w:sz w:val="16"/>
          <w:szCs w:val="16"/>
        </w:rPr>
        <w:t xml:space="preserve">Maîtrise fragile : </w:t>
      </w:r>
      <w:r>
        <w:rPr>
          <w:sz w:val="16"/>
          <w:szCs w:val="16"/>
        </w:rPr>
        <w:tab/>
      </w:r>
      <w:r>
        <w:rPr>
          <w:sz w:val="16"/>
          <w:szCs w:val="16"/>
        </w:rPr>
        <w:tab/>
        <w:t>25 points</w:t>
      </w:r>
    </w:p>
    <w:p w:rsidR="00751923" w:rsidRDefault="00B51FEA">
      <w:pPr>
        <w:pStyle w:val="Standard"/>
        <w:spacing w:after="0"/>
        <w:jc w:val="both"/>
        <w:rPr>
          <w:sz w:val="16"/>
          <w:szCs w:val="16"/>
        </w:rPr>
      </w:pPr>
      <w:r>
        <w:rPr>
          <w:sz w:val="16"/>
          <w:szCs w:val="16"/>
        </w:rPr>
        <w:t xml:space="preserve">Maîtrise satisfaisante : </w:t>
      </w:r>
      <w:r>
        <w:rPr>
          <w:sz w:val="16"/>
          <w:szCs w:val="16"/>
        </w:rPr>
        <w:tab/>
        <w:t>40 points</w:t>
      </w:r>
    </w:p>
    <w:p w:rsidR="00751923" w:rsidRDefault="00B51FEA">
      <w:pPr>
        <w:pStyle w:val="Standard"/>
        <w:spacing w:after="0"/>
        <w:jc w:val="both"/>
      </w:pPr>
      <w:r>
        <w:rPr>
          <w:sz w:val="16"/>
          <w:szCs w:val="16"/>
        </w:rPr>
        <w:t xml:space="preserve">Très bonne maîtrise : </w:t>
      </w:r>
      <w:r>
        <w:rPr>
          <w:sz w:val="16"/>
          <w:szCs w:val="16"/>
        </w:rPr>
        <w:tab/>
      </w:r>
      <w:r>
        <w:rPr>
          <w:sz w:val="16"/>
          <w:szCs w:val="16"/>
        </w:rPr>
        <w:tab/>
        <w:t>50 points</w:t>
      </w:r>
      <w:r>
        <w:rPr>
          <w:sz w:val="20"/>
          <w:szCs w:val="20"/>
        </w:rPr>
        <w:t xml:space="preserve"> </w:t>
      </w:r>
      <w:r>
        <w:rPr>
          <w:sz w:val="20"/>
          <w:szCs w:val="20"/>
        </w:rPr>
        <w:tab/>
      </w:r>
      <w:r>
        <w:rPr>
          <w:sz w:val="20"/>
          <w:szCs w:val="20"/>
        </w:rPr>
        <w:tab/>
        <w:t xml:space="preserve">Donc au maximum : </w:t>
      </w:r>
      <w:r>
        <w:rPr>
          <w:b/>
          <w:sz w:val="20"/>
          <w:szCs w:val="20"/>
        </w:rPr>
        <w:t>4×50 = 200 pts</w:t>
      </w:r>
    </w:p>
    <w:p w:rsidR="00751923" w:rsidRDefault="00751923">
      <w:pPr>
        <w:pStyle w:val="Standard"/>
        <w:spacing w:after="0"/>
        <w:jc w:val="both"/>
        <w:rPr>
          <w:sz w:val="12"/>
          <w:szCs w:val="12"/>
        </w:rPr>
      </w:pPr>
    </w:p>
    <w:p w:rsidR="00751923" w:rsidRDefault="00B51FEA">
      <w:pPr>
        <w:pStyle w:val="Standard"/>
        <w:pBdr>
          <w:top w:val="single" w:sz="4" w:space="1" w:color="00000A"/>
          <w:left w:val="single" w:sz="4" w:space="4" w:color="00000A"/>
          <w:bottom w:val="single" w:sz="4" w:space="1" w:color="00000A"/>
          <w:right w:val="single" w:sz="4" w:space="4" w:color="00000A"/>
        </w:pBdr>
        <w:shd w:val="clear" w:color="auto" w:fill="D99594"/>
        <w:spacing w:after="0"/>
        <w:jc w:val="both"/>
        <w:rPr>
          <w:b/>
          <w:sz w:val="20"/>
          <w:szCs w:val="20"/>
        </w:rPr>
      </w:pPr>
      <w:r>
        <w:rPr>
          <w:b/>
          <w:sz w:val="20"/>
          <w:szCs w:val="20"/>
        </w:rPr>
        <w:t>Domaine 2 : Des méthodes et outils pour apprendre</w:t>
      </w:r>
    </w:p>
    <w:p w:rsidR="00751923" w:rsidRDefault="00B51FEA">
      <w:pPr>
        <w:pStyle w:val="Standard"/>
        <w:pBdr>
          <w:top w:val="single" w:sz="4" w:space="1" w:color="00000A"/>
          <w:left w:val="single" w:sz="4" w:space="4" w:color="00000A"/>
          <w:bottom w:val="single" w:sz="4" w:space="1" w:color="00000A"/>
          <w:right w:val="single" w:sz="4" w:space="4" w:color="00000A"/>
        </w:pBdr>
        <w:shd w:val="clear" w:color="auto" w:fill="D99594"/>
        <w:spacing w:after="0"/>
        <w:jc w:val="both"/>
        <w:rPr>
          <w:sz w:val="20"/>
          <w:szCs w:val="20"/>
        </w:rPr>
      </w:pPr>
      <w:r>
        <w:rPr>
          <w:sz w:val="20"/>
          <w:szCs w:val="20"/>
        </w:rPr>
        <w:t>Apprendre à apprendre, seul ou collectivement, en classe ou en dehors</w:t>
      </w:r>
    </w:p>
    <w:p w:rsidR="00751923" w:rsidRDefault="00751923">
      <w:pPr>
        <w:pStyle w:val="Standard"/>
        <w:spacing w:after="0"/>
        <w:jc w:val="both"/>
        <w:rPr>
          <w:sz w:val="12"/>
          <w:szCs w:val="12"/>
        </w:rPr>
      </w:pPr>
    </w:p>
    <w:p w:rsidR="00751923" w:rsidRDefault="00B51FEA">
      <w:pPr>
        <w:pStyle w:val="Standard"/>
        <w:spacing w:after="0"/>
        <w:jc w:val="both"/>
      </w:pPr>
      <w:r>
        <w:rPr>
          <w:sz w:val="20"/>
          <w:szCs w:val="20"/>
        </w:rPr>
        <w:t xml:space="preserve">C’est le même barème : </w:t>
      </w:r>
      <w:r>
        <w:rPr>
          <w:sz w:val="20"/>
          <w:szCs w:val="20"/>
        </w:rPr>
        <w:tab/>
      </w:r>
      <w:r>
        <w:rPr>
          <w:sz w:val="20"/>
          <w:szCs w:val="20"/>
        </w:rPr>
        <w:tab/>
      </w:r>
      <w:r>
        <w:rPr>
          <w:sz w:val="20"/>
          <w:szCs w:val="20"/>
        </w:rPr>
        <w:tab/>
        <w:t xml:space="preserve">Donc au maximum : </w:t>
      </w:r>
      <w:r>
        <w:rPr>
          <w:b/>
          <w:sz w:val="20"/>
          <w:szCs w:val="20"/>
        </w:rPr>
        <w:t>50 pts</w:t>
      </w:r>
    </w:p>
    <w:p w:rsidR="00751923" w:rsidRDefault="00751923">
      <w:pPr>
        <w:pStyle w:val="Standard"/>
        <w:spacing w:after="0"/>
        <w:jc w:val="both"/>
        <w:rPr>
          <w:sz w:val="12"/>
          <w:szCs w:val="12"/>
        </w:rPr>
      </w:pPr>
    </w:p>
    <w:p w:rsidR="00751923" w:rsidRDefault="00B51FEA">
      <w:pPr>
        <w:pStyle w:val="Standard"/>
        <w:pBdr>
          <w:top w:val="single" w:sz="4" w:space="1" w:color="00000A"/>
          <w:left w:val="single" w:sz="4" w:space="4" w:color="00000A"/>
          <w:bottom w:val="single" w:sz="4" w:space="1" w:color="00000A"/>
          <w:right w:val="single" w:sz="4" w:space="4" w:color="00000A"/>
        </w:pBdr>
        <w:shd w:val="clear" w:color="auto" w:fill="92CDDC"/>
        <w:spacing w:after="0"/>
        <w:jc w:val="both"/>
        <w:rPr>
          <w:b/>
          <w:sz w:val="20"/>
          <w:szCs w:val="20"/>
        </w:rPr>
      </w:pPr>
      <w:r>
        <w:rPr>
          <w:b/>
          <w:sz w:val="20"/>
          <w:szCs w:val="20"/>
        </w:rPr>
        <w:t>Domaine 3 : La formation de la personne et du citoyen</w:t>
      </w:r>
    </w:p>
    <w:p w:rsidR="00751923" w:rsidRDefault="00B51FEA">
      <w:pPr>
        <w:pStyle w:val="Standard"/>
        <w:pBdr>
          <w:top w:val="single" w:sz="4" w:space="1" w:color="00000A"/>
          <w:left w:val="single" w:sz="4" w:space="4" w:color="00000A"/>
          <w:bottom w:val="single" w:sz="4" w:space="1" w:color="00000A"/>
          <w:right w:val="single" w:sz="4" w:space="4" w:color="00000A"/>
        </w:pBdr>
        <w:shd w:val="clear" w:color="auto" w:fill="92CDDC"/>
        <w:spacing w:after="0"/>
        <w:jc w:val="both"/>
        <w:rPr>
          <w:sz w:val="20"/>
          <w:szCs w:val="20"/>
        </w:rPr>
      </w:pPr>
      <w:r>
        <w:rPr>
          <w:sz w:val="20"/>
          <w:szCs w:val="20"/>
        </w:rPr>
        <w:t>Transmettre des valeurs fondamentales et les principes inscrits dans la constitution</w:t>
      </w:r>
    </w:p>
    <w:p w:rsidR="00751923" w:rsidRDefault="00751923">
      <w:pPr>
        <w:pStyle w:val="Standard"/>
        <w:spacing w:after="0"/>
        <w:jc w:val="both"/>
        <w:rPr>
          <w:sz w:val="12"/>
          <w:szCs w:val="12"/>
        </w:rPr>
      </w:pPr>
    </w:p>
    <w:p w:rsidR="00751923" w:rsidRDefault="00B51FEA">
      <w:pPr>
        <w:pStyle w:val="Standard"/>
        <w:spacing w:after="0"/>
        <w:jc w:val="both"/>
      </w:pPr>
      <w:r>
        <w:rPr>
          <w:sz w:val="20"/>
          <w:szCs w:val="20"/>
        </w:rPr>
        <w:t xml:space="preserve">C’est le même barème : </w:t>
      </w:r>
      <w:r>
        <w:rPr>
          <w:sz w:val="20"/>
          <w:szCs w:val="20"/>
        </w:rPr>
        <w:tab/>
      </w:r>
      <w:r>
        <w:rPr>
          <w:sz w:val="20"/>
          <w:szCs w:val="20"/>
        </w:rPr>
        <w:tab/>
      </w:r>
      <w:r>
        <w:rPr>
          <w:sz w:val="20"/>
          <w:szCs w:val="20"/>
        </w:rPr>
        <w:tab/>
        <w:t xml:space="preserve">Donc au maximum : </w:t>
      </w:r>
      <w:r>
        <w:rPr>
          <w:b/>
          <w:sz w:val="20"/>
          <w:szCs w:val="20"/>
        </w:rPr>
        <w:t>50 pts</w:t>
      </w:r>
    </w:p>
    <w:p w:rsidR="00751923" w:rsidRDefault="00751923">
      <w:pPr>
        <w:pStyle w:val="Standard"/>
        <w:spacing w:after="0"/>
        <w:jc w:val="both"/>
        <w:rPr>
          <w:sz w:val="12"/>
          <w:szCs w:val="12"/>
        </w:rPr>
      </w:pPr>
    </w:p>
    <w:p w:rsidR="00751923" w:rsidRDefault="00B51FEA">
      <w:pPr>
        <w:pStyle w:val="Standard"/>
        <w:pBdr>
          <w:top w:val="single" w:sz="4" w:space="1" w:color="00000A"/>
          <w:left w:val="single" w:sz="4" w:space="4" w:color="00000A"/>
          <w:bottom w:val="single" w:sz="4" w:space="1" w:color="00000A"/>
          <w:right w:val="single" w:sz="4" w:space="4" w:color="00000A"/>
        </w:pBdr>
        <w:shd w:val="clear" w:color="auto" w:fill="E36C0A"/>
        <w:spacing w:after="0"/>
        <w:jc w:val="both"/>
        <w:rPr>
          <w:b/>
          <w:sz w:val="20"/>
          <w:szCs w:val="20"/>
        </w:rPr>
      </w:pPr>
      <w:r>
        <w:rPr>
          <w:b/>
          <w:sz w:val="20"/>
          <w:szCs w:val="20"/>
        </w:rPr>
        <w:t>Domaine 4 : Les naturels et les systèmes techniques</w:t>
      </w:r>
    </w:p>
    <w:p w:rsidR="00751923" w:rsidRDefault="00B51FEA">
      <w:pPr>
        <w:pStyle w:val="Standard"/>
        <w:pBdr>
          <w:top w:val="single" w:sz="4" w:space="1" w:color="00000A"/>
          <w:left w:val="single" w:sz="4" w:space="4" w:color="00000A"/>
          <w:bottom w:val="single" w:sz="4" w:space="1" w:color="00000A"/>
          <w:right w:val="single" w:sz="4" w:space="4" w:color="00000A"/>
        </w:pBdr>
        <w:shd w:val="clear" w:color="auto" w:fill="E36C0A"/>
        <w:spacing w:after="0"/>
        <w:jc w:val="both"/>
        <w:rPr>
          <w:sz w:val="20"/>
          <w:szCs w:val="20"/>
        </w:rPr>
      </w:pPr>
      <w:r>
        <w:rPr>
          <w:sz w:val="20"/>
          <w:szCs w:val="20"/>
        </w:rPr>
        <w:t>Donner à l’élève les fondements de la culture mathématique, scientifique et technologique</w:t>
      </w:r>
    </w:p>
    <w:p w:rsidR="00751923" w:rsidRDefault="00751923">
      <w:pPr>
        <w:pStyle w:val="Standard"/>
        <w:spacing w:after="0"/>
        <w:jc w:val="both"/>
        <w:rPr>
          <w:sz w:val="12"/>
          <w:szCs w:val="12"/>
        </w:rPr>
      </w:pPr>
    </w:p>
    <w:p w:rsidR="00751923" w:rsidRDefault="00B51FEA">
      <w:pPr>
        <w:pStyle w:val="Standard"/>
        <w:spacing w:after="0"/>
        <w:jc w:val="both"/>
      </w:pPr>
      <w:r>
        <w:rPr>
          <w:sz w:val="20"/>
          <w:szCs w:val="20"/>
        </w:rPr>
        <w:t xml:space="preserve">C’est le même barème : </w:t>
      </w:r>
      <w:r>
        <w:rPr>
          <w:sz w:val="20"/>
          <w:szCs w:val="20"/>
        </w:rPr>
        <w:tab/>
      </w:r>
      <w:r>
        <w:rPr>
          <w:sz w:val="20"/>
          <w:szCs w:val="20"/>
        </w:rPr>
        <w:tab/>
      </w:r>
      <w:r>
        <w:rPr>
          <w:sz w:val="20"/>
          <w:szCs w:val="20"/>
        </w:rPr>
        <w:tab/>
        <w:t xml:space="preserve">Donc au maximum : </w:t>
      </w:r>
      <w:r>
        <w:rPr>
          <w:b/>
          <w:sz w:val="20"/>
          <w:szCs w:val="20"/>
        </w:rPr>
        <w:t>50 pts</w:t>
      </w:r>
    </w:p>
    <w:p w:rsidR="00751923" w:rsidRDefault="00751923">
      <w:pPr>
        <w:pStyle w:val="Standard"/>
        <w:spacing w:after="0"/>
        <w:jc w:val="both"/>
        <w:rPr>
          <w:sz w:val="12"/>
          <w:szCs w:val="12"/>
        </w:rPr>
      </w:pPr>
    </w:p>
    <w:p w:rsidR="00751923" w:rsidRDefault="00B51FEA">
      <w:pPr>
        <w:pStyle w:val="Standard"/>
        <w:pBdr>
          <w:top w:val="single" w:sz="4" w:space="1" w:color="00000A"/>
          <w:left w:val="single" w:sz="4" w:space="4" w:color="00000A"/>
          <w:bottom w:val="single" w:sz="4" w:space="1" w:color="00000A"/>
          <w:right w:val="single" w:sz="4" w:space="4" w:color="00000A"/>
        </w:pBdr>
        <w:shd w:val="clear" w:color="auto" w:fill="33CC33"/>
        <w:spacing w:after="0"/>
        <w:jc w:val="both"/>
        <w:rPr>
          <w:b/>
          <w:sz w:val="20"/>
          <w:szCs w:val="20"/>
        </w:rPr>
      </w:pPr>
      <w:r>
        <w:rPr>
          <w:b/>
          <w:sz w:val="20"/>
          <w:szCs w:val="20"/>
        </w:rPr>
        <w:t>Domaine 5 : Les représentations du monde et de l’activité humaine</w:t>
      </w:r>
    </w:p>
    <w:p w:rsidR="00751923" w:rsidRDefault="00B51FEA">
      <w:pPr>
        <w:pStyle w:val="Standard"/>
        <w:pBdr>
          <w:top w:val="single" w:sz="4" w:space="1" w:color="00000A"/>
          <w:left w:val="single" w:sz="4" w:space="4" w:color="00000A"/>
          <w:bottom w:val="single" w:sz="4" w:space="1" w:color="00000A"/>
          <w:right w:val="single" w:sz="4" w:space="4" w:color="00000A"/>
        </w:pBdr>
        <w:shd w:val="clear" w:color="auto" w:fill="33CC33"/>
        <w:spacing w:after="0"/>
        <w:jc w:val="both"/>
        <w:rPr>
          <w:sz w:val="20"/>
          <w:szCs w:val="20"/>
        </w:rPr>
      </w:pPr>
      <w:r>
        <w:rPr>
          <w:sz w:val="20"/>
          <w:szCs w:val="20"/>
        </w:rPr>
        <w:t>Développer une conscience de l’espace géographique et du temps historique</w:t>
      </w:r>
    </w:p>
    <w:p w:rsidR="00751923" w:rsidRDefault="00751923">
      <w:pPr>
        <w:pStyle w:val="Standard"/>
        <w:spacing w:after="0"/>
        <w:jc w:val="both"/>
        <w:rPr>
          <w:sz w:val="12"/>
          <w:szCs w:val="12"/>
        </w:rPr>
      </w:pPr>
    </w:p>
    <w:p w:rsidR="00751923" w:rsidRDefault="00B51FEA">
      <w:pPr>
        <w:pStyle w:val="Standard"/>
        <w:spacing w:after="0"/>
        <w:jc w:val="both"/>
      </w:pPr>
      <w:r>
        <w:rPr>
          <w:sz w:val="20"/>
          <w:szCs w:val="20"/>
        </w:rPr>
        <w:t xml:space="preserve">C’est le même barème : </w:t>
      </w:r>
      <w:r>
        <w:rPr>
          <w:sz w:val="20"/>
          <w:szCs w:val="20"/>
        </w:rPr>
        <w:tab/>
      </w:r>
      <w:r>
        <w:rPr>
          <w:sz w:val="20"/>
          <w:szCs w:val="20"/>
        </w:rPr>
        <w:tab/>
      </w:r>
      <w:r>
        <w:rPr>
          <w:sz w:val="20"/>
          <w:szCs w:val="20"/>
        </w:rPr>
        <w:tab/>
        <w:t xml:space="preserve">Donc au maximum : </w:t>
      </w:r>
      <w:r>
        <w:rPr>
          <w:b/>
          <w:sz w:val="20"/>
          <w:szCs w:val="20"/>
        </w:rPr>
        <w:t>50 pts</w:t>
      </w:r>
    </w:p>
    <w:p w:rsidR="00751923" w:rsidRDefault="00751923">
      <w:pPr>
        <w:pStyle w:val="Standard"/>
        <w:spacing w:after="0"/>
        <w:jc w:val="both"/>
        <w:rPr>
          <w:sz w:val="12"/>
          <w:szCs w:val="12"/>
        </w:rPr>
      </w:pPr>
    </w:p>
    <w:p w:rsidR="00751923" w:rsidRDefault="00B51FEA">
      <w:pPr>
        <w:pStyle w:val="Standard"/>
        <w:spacing w:after="0"/>
        <w:jc w:val="both"/>
      </w:pPr>
      <w:r>
        <w:rPr>
          <w:b/>
          <w:sz w:val="24"/>
          <w:szCs w:val="24"/>
          <w:u w:val="single"/>
        </w:rPr>
        <w:t>Epreuves de fin d’année </w:t>
      </w:r>
      <w:r>
        <w:rPr>
          <w:b/>
          <w:sz w:val="24"/>
          <w:szCs w:val="24"/>
        </w:rPr>
        <w:t>: une épreuve orale et deux épreuves écrites</w:t>
      </w:r>
    </w:p>
    <w:p w:rsidR="00751923" w:rsidRDefault="00B51FEA">
      <w:pPr>
        <w:pStyle w:val="Standard"/>
        <w:spacing w:after="0"/>
        <w:jc w:val="both"/>
        <w:rPr>
          <w:b/>
          <w:sz w:val="24"/>
          <w:szCs w:val="24"/>
        </w:rPr>
      </w:pPr>
      <w:r>
        <w:rPr>
          <w:b/>
          <w:sz w:val="24"/>
          <w:szCs w:val="24"/>
        </w:rPr>
        <w:t>(100 points pour chaque épreuve)</w:t>
      </w:r>
    </w:p>
    <w:p w:rsidR="00751923" w:rsidRDefault="00751923">
      <w:pPr>
        <w:pStyle w:val="Standard"/>
        <w:spacing w:after="0"/>
        <w:jc w:val="both"/>
        <w:rPr>
          <w:sz w:val="12"/>
          <w:szCs w:val="12"/>
        </w:rPr>
      </w:pPr>
    </w:p>
    <w:p w:rsidR="00751923" w:rsidRDefault="00B51FEA">
      <w:pPr>
        <w:pStyle w:val="Standard"/>
        <w:spacing w:after="0"/>
        <w:jc w:val="both"/>
      </w:pPr>
      <w:r>
        <w:rPr>
          <w:b/>
        </w:rPr>
        <w:t>Epreuve orale (100 points)</w:t>
      </w:r>
      <w:r>
        <w:t xml:space="preserve"> : porte sur un des projets menés par le candidat dans le cadre des Enseignements Pratiques Interdisciplinaires (EPI) du cycle 4, du parcours Avenir, du parcours citoyen ou du parcours d’éducation artistique et culturelle.</w:t>
      </w:r>
    </w:p>
    <w:p w:rsidR="00751923" w:rsidRDefault="00B51FEA">
      <w:pPr>
        <w:pStyle w:val="Standard"/>
        <w:spacing w:after="0"/>
        <w:jc w:val="both"/>
      </w:pPr>
      <w:r>
        <w:t>Au programme des EPI cette année (les contenus seront dévoilés prochainement) :</w:t>
      </w:r>
    </w:p>
    <w:tbl>
      <w:tblPr>
        <w:tblW w:w="7567" w:type="dxa"/>
        <w:tblInd w:w="-108" w:type="dxa"/>
        <w:tblLayout w:type="fixed"/>
        <w:tblCellMar>
          <w:left w:w="10" w:type="dxa"/>
          <w:right w:w="10" w:type="dxa"/>
        </w:tblCellMar>
        <w:tblLook w:val="0000" w:firstRow="0" w:lastRow="0" w:firstColumn="0" w:lastColumn="0" w:noHBand="0" w:noVBand="0"/>
      </w:tblPr>
      <w:tblGrid>
        <w:gridCol w:w="2522"/>
        <w:gridCol w:w="2522"/>
        <w:gridCol w:w="2523"/>
      </w:tblGrid>
      <w:tr w:rsidR="00751923">
        <w:tc>
          <w:tcPr>
            <w:tcW w:w="252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751923" w:rsidRDefault="00B51FEA">
            <w:pPr>
              <w:pStyle w:val="Standard"/>
              <w:spacing w:after="0" w:line="240" w:lineRule="auto"/>
              <w:jc w:val="center"/>
              <w:rPr>
                <w:rFonts w:eastAsia="Calibri" w:cs="Times New Roman"/>
                <w:b/>
              </w:rPr>
            </w:pPr>
            <w:r>
              <w:rPr>
                <w:rFonts w:eastAsia="Calibri" w:cs="Times New Roman"/>
                <w:b/>
              </w:rPr>
              <w:t>Des objets, des mots et des gestes pour libérer la mémoire</w:t>
            </w:r>
          </w:p>
        </w:tc>
        <w:tc>
          <w:tcPr>
            <w:tcW w:w="252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751923" w:rsidRDefault="00B51FEA">
            <w:pPr>
              <w:pStyle w:val="Standard"/>
              <w:spacing w:after="0" w:line="240" w:lineRule="auto"/>
              <w:jc w:val="center"/>
              <w:rPr>
                <w:rFonts w:eastAsia="Calibri" w:cs="Times New Roman"/>
                <w:b/>
              </w:rPr>
            </w:pPr>
            <w:r>
              <w:rPr>
                <w:rFonts w:eastAsia="Calibri" w:cs="Times New Roman"/>
                <w:b/>
              </w:rPr>
              <w:t>Egalité et mixité en orientation</w:t>
            </w:r>
          </w:p>
        </w:tc>
        <w:tc>
          <w:tcPr>
            <w:tcW w:w="252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751923" w:rsidRDefault="00B51FEA">
            <w:pPr>
              <w:pStyle w:val="Standard"/>
              <w:spacing w:after="0" w:line="240" w:lineRule="auto"/>
              <w:jc w:val="center"/>
              <w:rPr>
                <w:b/>
              </w:rPr>
            </w:pPr>
            <w:r>
              <w:rPr>
                <w:b/>
              </w:rPr>
              <w:t>Les exo planètes</w:t>
            </w:r>
          </w:p>
        </w:tc>
      </w:tr>
      <w:tr w:rsidR="00751923">
        <w:tc>
          <w:tcPr>
            <w:tcW w:w="25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51923" w:rsidRDefault="00B51FEA">
            <w:pPr>
              <w:pStyle w:val="Standard"/>
              <w:spacing w:after="0" w:line="240" w:lineRule="auto"/>
              <w:jc w:val="center"/>
            </w:pPr>
            <w:r>
              <w:t>EPS, Français, Arts</w:t>
            </w:r>
          </w:p>
        </w:tc>
        <w:tc>
          <w:tcPr>
            <w:tcW w:w="25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51923" w:rsidRDefault="00B51FEA">
            <w:pPr>
              <w:pStyle w:val="Standard"/>
              <w:spacing w:after="0" w:line="240" w:lineRule="auto"/>
              <w:jc w:val="center"/>
            </w:pPr>
            <w:r>
              <w:t>Professeurs principaux 3</w:t>
            </w:r>
            <w:r>
              <w:rPr>
                <w:vertAlign w:val="superscript"/>
              </w:rPr>
              <w:t>ème</w:t>
            </w:r>
            <w:r>
              <w:t>, Français, Mathématiques</w:t>
            </w:r>
          </w:p>
        </w:tc>
        <w:tc>
          <w:tcPr>
            <w:tcW w:w="25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51923" w:rsidRDefault="00B51FEA">
            <w:pPr>
              <w:pStyle w:val="Standard"/>
              <w:spacing w:after="0" w:line="240" w:lineRule="auto"/>
              <w:jc w:val="center"/>
            </w:pPr>
            <w:r>
              <w:t>Mathématiques,</w:t>
            </w:r>
          </w:p>
          <w:p w:rsidR="00751923" w:rsidRDefault="00B51FEA">
            <w:pPr>
              <w:pStyle w:val="Standard"/>
              <w:spacing w:after="0" w:line="240" w:lineRule="auto"/>
              <w:jc w:val="center"/>
            </w:pPr>
            <w:r>
              <w:t>SVT</w:t>
            </w:r>
          </w:p>
          <w:p w:rsidR="00751923" w:rsidRDefault="00B51FEA">
            <w:pPr>
              <w:pStyle w:val="Standard"/>
              <w:spacing w:after="0" w:line="240" w:lineRule="auto"/>
              <w:jc w:val="center"/>
            </w:pPr>
            <w:r>
              <w:t>Sciences Physiques</w:t>
            </w:r>
          </w:p>
        </w:tc>
      </w:tr>
    </w:tbl>
    <w:p w:rsidR="00751923" w:rsidRDefault="00B51FEA">
      <w:pPr>
        <w:pStyle w:val="Standard"/>
        <w:spacing w:after="0"/>
        <w:jc w:val="both"/>
      </w:pPr>
      <w:r>
        <w:t>Chaque candidat choisira le projet qu’il présentera devant le jury.</w:t>
      </w:r>
    </w:p>
    <w:p w:rsidR="00751923" w:rsidRDefault="00751923">
      <w:pPr>
        <w:pStyle w:val="Standard"/>
        <w:spacing w:after="0"/>
        <w:jc w:val="both"/>
      </w:pPr>
    </w:p>
    <w:p w:rsidR="00751923" w:rsidRDefault="00B51FEA">
      <w:pPr>
        <w:pStyle w:val="Standard"/>
        <w:spacing w:after="0"/>
        <w:jc w:val="both"/>
      </w:pPr>
      <w:r>
        <w:rPr>
          <w:b/>
        </w:rPr>
        <w:t>Epreuve écrite sur les programmes de français (3h), histoire et géographie et enseignement moral et civique (2h) : 100 points.</w:t>
      </w:r>
    </w:p>
    <w:p w:rsidR="00751923" w:rsidRDefault="00B51FEA">
      <w:pPr>
        <w:pStyle w:val="Standard"/>
        <w:spacing w:after="0"/>
        <w:jc w:val="both"/>
      </w:pPr>
      <w:r>
        <w:t>Le thème des deux épreuves est commun.</w:t>
      </w:r>
    </w:p>
    <w:p w:rsidR="00751923" w:rsidRDefault="00B51FEA">
      <w:pPr>
        <w:pStyle w:val="Standard"/>
        <w:spacing w:after="0"/>
        <w:jc w:val="both"/>
        <w:rPr>
          <w:sz w:val="20"/>
          <w:szCs w:val="20"/>
        </w:rPr>
      </w:pPr>
      <w:r>
        <w:rPr>
          <w:sz w:val="20"/>
          <w:szCs w:val="20"/>
        </w:rPr>
        <w:t>50 points pour l’épreuve de français + 50 points pour l’épreuve d’histoire-géographie</w:t>
      </w:r>
    </w:p>
    <w:p w:rsidR="00751923" w:rsidRDefault="00751923">
      <w:pPr>
        <w:pStyle w:val="Standard"/>
        <w:spacing w:after="0"/>
        <w:jc w:val="both"/>
      </w:pPr>
    </w:p>
    <w:p w:rsidR="00751923" w:rsidRDefault="00B51FEA">
      <w:pPr>
        <w:pStyle w:val="Standard"/>
        <w:spacing w:after="0"/>
        <w:jc w:val="both"/>
        <w:rPr>
          <w:b/>
        </w:rPr>
      </w:pPr>
      <w:r>
        <w:rPr>
          <w:b/>
        </w:rPr>
        <w:t>Epreuve écrite sur les programmes de mathématiques (2h), physique-chimie, sciences de la vie et de la Terre et technologie (1h) : 100 points.</w:t>
      </w:r>
    </w:p>
    <w:p w:rsidR="00751923" w:rsidRDefault="00B51FEA">
      <w:pPr>
        <w:pStyle w:val="Standard"/>
        <w:spacing w:after="0"/>
        <w:jc w:val="both"/>
      </w:pPr>
      <w:r>
        <w:t>L’un des exercices de l’épreuve de mathématiques est commun à l’épreuve scientifique.</w:t>
      </w:r>
    </w:p>
    <w:p w:rsidR="00751923" w:rsidRDefault="00B51FEA">
      <w:pPr>
        <w:pStyle w:val="Standard"/>
        <w:spacing w:after="0"/>
        <w:jc w:val="both"/>
        <w:rPr>
          <w:sz w:val="20"/>
          <w:szCs w:val="20"/>
        </w:rPr>
      </w:pPr>
      <w:r>
        <w:rPr>
          <w:sz w:val="20"/>
          <w:szCs w:val="20"/>
        </w:rPr>
        <w:t>50 points pour l’épreuve de mathématiques + 50 points pour l’épreuve scientifiques.</w:t>
      </w:r>
    </w:p>
    <w:p w:rsidR="00751923" w:rsidRDefault="00B51FEA">
      <w:pPr>
        <w:pStyle w:val="Standard"/>
        <w:spacing w:after="0"/>
        <w:jc w:val="both"/>
      </w:pPr>
      <w:r>
        <w:rPr>
          <w:b/>
        </w:rPr>
        <w:t xml:space="preserve">Attention : points accordés en bonus pour les enseignements de compléments (latin par exemple). </w:t>
      </w:r>
      <w:r>
        <w:t>10 points si les objectifs sont atteints, 20 s’ils sont dépassés</w:t>
      </w:r>
    </w:p>
    <w:p w:rsidR="00751923" w:rsidRDefault="00B51FEA">
      <w:pPr>
        <w:pStyle w:val="Standard"/>
        <w:spacing w:after="0"/>
        <w:jc w:val="both"/>
        <w:rPr>
          <w:b/>
        </w:rPr>
      </w:pPr>
      <w:r>
        <w:rPr>
          <w:b/>
        </w:rPr>
        <w:t>Bilan :</w:t>
      </w:r>
    </w:p>
    <w:tbl>
      <w:tblPr>
        <w:tblW w:w="7567" w:type="dxa"/>
        <w:tblInd w:w="-108" w:type="dxa"/>
        <w:tblLayout w:type="fixed"/>
        <w:tblCellMar>
          <w:left w:w="10" w:type="dxa"/>
          <w:right w:w="10" w:type="dxa"/>
        </w:tblCellMar>
        <w:tblLook w:val="0000" w:firstRow="0" w:lastRow="0" w:firstColumn="0" w:lastColumn="0" w:noHBand="0" w:noVBand="0"/>
      </w:tblPr>
      <w:tblGrid>
        <w:gridCol w:w="1891"/>
        <w:gridCol w:w="1892"/>
        <w:gridCol w:w="1891"/>
        <w:gridCol w:w="1893"/>
      </w:tblGrid>
      <w:tr w:rsidR="00751923">
        <w:tc>
          <w:tcPr>
            <w:tcW w:w="1891"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751923" w:rsidRDefault="00B51FEA">
            <w:pPr>
              <w:pStyle w:val="Standard"/>
              <w:spacing w:after="0" w:line="240" w:lineRule="auto"/>
              <w:jc w:val="center"/>
              <w:rPr>
                <w:b/>
              </w:rPr>
            </w:pPr>
            <w:r>
              <w:rPr>
                <w:b/>
              </w:rPr>
              <w:t>Socle commun</w:t>
            </w:r>
          </w:p>
        </w:tc>
        <w:tc>
          <w:tcPr>
            <w:tcW w:w="1892"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751923" w:rsidRDefault="00B51FEA">
            <w:pPr>
              <w:pStyle w:val="Standard"/>
              <w:spacing w:after="0" w:line="240" w:lineRule="auto"/>
              <w:jc w:val="center"/>
              <w:rPr>
                <w:b/>
              </w:rPr>
            </w:pPr>
            <w:r>
              <w:rPr>
                <w:b/>
              </w:rPr>
              <w:t>Epreuve orale</w:t>
            </w:r>
          </w:p>
        </w:tc>
        <w:tc>
          <w:tcPr>
            <w:tcW w:w="1891"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751923" w:rsidRDefault="00B51FEA">
            <w:pPr>
              <w:pStyle w:val="Standard"/>
              <w:spacing w:after="0" w:line="240" w:lineRule="auto"/>
              <w:jc w:val="center"/>
              <w:rPr>
                <w:b/>
              </w:rPr>
            </w:pPr>
            <w:r>
              <w:rPr>
                <w:b/>
              </w:rPr>
              <w:t>Epreuve écrite</w:t>
            </w:r>
          </w:p>
          <w:p w:rsidR="00751923" w:rsidRDefault="00B51FEA">
            <w:pPr>
              <w:pStyle w:val="Standard"/>
              <w:spacing w:after="0" w:line="240" w:lineRule="auto"/>
              <w:jc w:val="center"/>
              <w:rPr>
                <w:b/>
              </w:rPr>
            </w:pPr>
            <w:r>
              <w:rPr>
                <w:b/>
              </w:rPr>
              <w:t>FR + HG</w:t>
            </w:r>
          </w:p>
        </w:tc>
        <w:tc>
          <w:tcPr>
            <w:tcW w:w="189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751923" w:rsidRDefault="00B51FEA">
            <w:pPr>
              <w:pStyle w:val="Standard"/>
              <w:spacing w:after="0" w:line="240" w:lineRule="auto"/>
              <w:jc w:val="center"/>
              <w:rPr>
                <w:b/>
              </w:rPr>
            </w:pPr>
            <w:r>
              <w:rPr>
                <w:b/>
              </w:rPr>
              <w:t>Epreuve écrite Math + Sciences</w:t>
            </w:r>
          </w:p>
        </w:tc>
      </w:tr>
      <w:tr w:rsidR="00751923">
        <w:tc>
          <w:tcPr>
            <w:tcW w:w="1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51923" w:rsidRDefault="00B51FEA">
            <w:pPr>
              <w:pStyle w:val="Standard"/>
              <w:spacing w:after="0" w:line="240" w:lineRule="auto"/>
              <w:jc w:val="center"/>
              <w:rPr>
                <w:b/>
              </w:rPr>
            </w:pPr>
            <w:r>
              <w:rPr>
                <w:b/>
              </w:rPr>
              <w:t>Evaluer toute l’année</w:t>
            </w:r>
          </w:p>
        </w:tc>
        <w:tc>
          <w:tcPr>
            <w:tcW w:w="1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51923" w:rsidRDefault="00B51FEA">
            <w:pPr>
              <w:pStyle w:val="Standard"/>
              <w:spacing w:after="0" w:line="240" w:lineRule="auto"/>
              <w:jc w:val="center"/>
              <w:rPr>
                <w:b/>
              </w:rPr>
            </w:pPr>
            <w:r>
              <w:rPr>
                <w:b/>
              </w:rPr>
              <w:t>Fin juin (15 min)</w:t>
            </w:r>
          </w:p>
        </w:tc>
        <w:tc>
          <w:tcPr>
            <w:tcW w:w="1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51923" w:rsidRDefault="00B51FEA">
            <w:pPr>
              <w:pStyle w:val="Standard"/>
              <w:spacing w:after="0" w:line="240" w:lineRule="auto"/>
              <w:jc w:val="center"/>
              <w:rPr>
                <w:b/>
              </w:rPr>
            </w:pPr>
            <w:r>
              <w:rPr>
                <w:b/>
              </w:rPr>
              <w:t>Fin juin (3h + 2h)</w:t>
            </w:r>
          </w:p>
        </w:tc>
        <w:tc>
          <w:tcPr>
            <w:tcW w:w="1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51923" w:rsidRDefault="00B51FEA">
            <w:pPr>
              <w:pStyle w:val="Standard"/>
              <w:spacing w:after="0" w:line="240" w:lineRule="auto"/>
              <w:jc w:val="center"/>
              <w:rPr>
                <w:b/>
              </w:rPr>
            </w:pPr>
            <w:r>
              <w:rPr>
                <w:b/>
              </w:rPr>
              <w:t>Fin juin (2h + 1h)</w:t>
            </w:r>
          </w:p>
        </w:tc>
      </w:tr>
      <w:tr w:rsidR="00751923">
        <w:tc>
          <w:tcPr>
            <w:tcW w:w="1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51923" w:rsidRDefault="00B51FEA">
            <w:pPr>
              <w:pStyle w:val="Standard"/>
              <w:spacing w:after="0" w:line="240" w:lineRule="auto"/>
              <w:jc w:val="center"/>
              <w:rPr>
                <w:b/>
              </w:rPr>
            </w:pPr>
            <w:r>
              <w:rPr>
                <w:b/>
              </w:rPr>
              <w:t>400 points</w:t>
            </w:r>
          </w:p>
        </w:tc>
        <w:tc>
          <w:tcPr>
            <w:tcW w:w="18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51923" w:rsidRDefault="00B51FEA">
            <w:pPr>
              <w:pStyle w:val="Standard"/>
              <w:spacing w:after="0" w:line="240" w:lineRule="auto"/>
              <w:jc w:val="center"/>
              <w:rPr>
                <w:b/>
              </w:rPr>
            </w:pPr>
            <w:r>
              <w:rPr>
                <w:b/>
              </w:rPr>
              <w:t>100 points</w:t>
            </w:r>
          </w:p>
        </w:tc>
        <w:tc>
          <w:tcPr>
            <w:tcW w:w="1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51923" w:rsidRDefault="00B51FEA">
            <w:pPr>
              <w:pStyle w:val="Standard"/>
              <w:spacing w:after="0" w:line="240" w:lineRule="auto"/>
              <w:jc w:val="center"/>
              <w:rPr>
                <w:b/>
              </w:rPr>
            </w:pPr>
            <w:r>
              <w:rPr>
                <w:b/>
              </w:rPr>
              <w:t>100 points</w:t>
            </w:r>
          </w:p>
        </w:tc>
        <w:tc>
          <w:tcPr>
            <w:tcW w:w="1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51923" w:rsidRDefault="00B51FEA">
            <w:pPr>
              <w:pStyle w:val="Standard"/>
              <w:spacing w:after="0" w:line="240" w:lineRule="auto"/>
              <w:jc w:val="center"/>
              <w:rPr>
                <w:b/>
              </w:rPr>
            </w:pPr>
            <w:r>
              <w:rPr>
                <w:b/>
              </w:rPr>
              <w:t>100 points</w:t>
            </w:r>
          </w:p>
        </w:tc>
      </w:tr>
    </w:tbl>
    <w:p w:rsidR="00751923" w:rsidRDefault="00751923">
      <w:pPr>
        <w:pStyle w:val="Standard"/>
        <w:spacing w:after="0"/>
        <w:jc w:val="both"/>
        <w:rPr>
          <w:b/>
        </w:rPr>
      </w:pPr>
    </w:p>
    <w:p w:rsidR="00751923" w:rsidRDefault="00B51FEA">
      <w:pPr>
        <w:pStyle w:val="Standard"/>
        <w:spacing w:after="0"/>
        <w:jc w:val="both"/>
        <w:rPr>
          <w:b/>
        </w:rPr>
      </w:pPr>
      <w:r>
        <w:rPr>
          <w:b/>
        </w:rPr>
        <w:t>Mentions : entre 420 et 489 (AB), entre 490 et 559 (B) et entre 560 et 700 (TB).</w:t>
      </w:r>
    </w:p>
    <w:sectPr w:rsidR="00751923">
      <w:pgSz w:w="16838" w:h="11906" w:orient="landscape"/>
      <w:pgMar w:top="426" w:right="709" w:bottom="284" w:left="567" w:header="720" w:footer="720" w:gutter="0"/>
      <w:cols w:num="2" w:space="720" w:equalWidth="0">
        <w:col w:w="7427" w:space="708"/>
        <w:col w:w="742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936" w:rsidRDefault="00356936">
      <w:pPr>
        <w:spacing w:after="0" w:line="240" w:lineRule="auto"/>
      </w:pPr>
      <w:r>
        <w:separator/>
      </w:r>
    </w:p>
  </w:endnote>
  <w:endnote w:type="continuationSeparator" w:id="0">
    <w:p w:rsidR="00356936" w:rsidRDefault="0035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936" w:rsidRDefault="00356936">
      <w:pPr>
        <w:spacing w:after="0" w:line="240" w:lineRule="auto"/>
      </w:pPr>
      <w:r>
        <w:rPr>
          <w:color w:val="000000"/>
        </w:rPr>
        <w:ptab w:relativeTo="margin" w:alignment="center" w:leader="none"/>
      </w:r>
    </w:p>
  </w:footnote>
  <w:footnote w:type="continuationSeparator" w:id="0">
    <w:p w:rsidR="00356936" w:rsidRDefault="003569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23"/>
    <w:rsid w:val="00356936"/>
    <w:rsid w:val="00751923"/>
    <w:rsid w:val="0098370A"/>
    <w:rsid w:val="00B51FEA"/>
    <w:rsid w:val="00E843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AA0C8-3B38-46B0-B84B-053C30E3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extedebulles">
    <w:name w:val="Balloon Text"/>
    <w:basedOn w:val="Standard"/>
    <w:pPr>
      <w:spacing w:after="0" w:line="240" w:lineRule="auto"/>
    </w:pPr>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character" w:customStyle="1" w:styleId="TextedebullesCar">
    <w:name w:val="Texte de bulles Car"/>
    <w:basedOn w:val="Policepardfaut"/>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dc:creator>
  <cp:lastModifiedBy>Valérie et Jean Paul</cp:lastModifiedBy>
  <cp:revision>2</cp:revision>
  <cp:lastPrinted>2016-09-12T06:49:00Z</cp:lastPrinted>
  <dcterms:created xsi:type="dcterms:W3CDTF">2017-01-19T20:05:00Z</dcterms:created>
  <dcterms:modified xsi:type="dcterms:W3CDTF">2017-01-19T20:05:00Z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